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 w:cs="Arial"/>
          <w:sz w:val="22"/>
          <w:szCs w:val="22"/>
          <w:lang w:val="ka-GE"/>
        </w:rPr>
      </w:pPr>
      <w:proofErr w:type="spellStart"/>
      <w:r w:rsidRPr="00B82D91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ოკუპირებული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ტერიტორიებიდან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დევნილთა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B82D91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, </w:t>
      </w:r>
      <w:proofErr w:type="spellStart"/>
      <w:r w:rsidRPr="00B82D91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სამინისტრომ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განიხილა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თქვენი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მიმდინარე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წლის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25 </w:t>
      </w:r>
      <w:proofErr w:type="spellStart"/>
      <w:r w:rsidRPr="00B82D91">
        <w:rPr>
          <w:rFonts w:ascii="Sylfaen" w:hAnsi="Sylfaen" w:cs="Sylfaen"/>
          <w:sz w:val="22"/>
          <w:szCs w:val="22"/>
        </w:rPr>
        <w:t>ივლისის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N02/1-69 </w:t>
      </w:r>
      <w:proofErr w:type="spellStart"/>
      <w:r w:rsidRPr="00B82D91">
        <w:rPr>
          <w:rFonts w:ascii="Sylfaen" w:hAnsi="Sylfaen" w:cs="Sylfaen"/>
          <w:sz w:val="22"/>
          <w:szCs w:val="22"/>
        </w:rPr>
        <w:t>წერილი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შპს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82D91">
        <w:rPr>
          <w:rFonts w:ascii="Sylfaen" w:hAnsi="Sylfaen" w:cs="Arial"/>
          <w:sz w:val="22"/>
          <w:szCs w:val="22"/>
        </w:rPr>
        <w:t>„</w:t>
      </w:r>
      <w:proofErr w:type="spellStart"/>
      <w:r w:rsidRPr="00B82D91">
        <w:rPr>
          <w:rFonts w:ascii="Sylfaen" w:hAnsi="Sylfaen" w:cs="Sylfaen"/>
          <w:sz w:val="22"/>
          <w:szCs w:val="22"/>
        </w:rPr>
        <w:t>აკადემიკოს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ნიკოლოზ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ყიფშიძის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სახელობის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ცენტრალური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საუნივერსიტეტო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კლინიკის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“, </w:t>
      </w:r>
      <w:proofErr w:type="spellStart"/>
      <w:r w:rsidRPr="00B82D91">
        <w:rPr>
          <w:rFonts w:ascii="Sylfaen" w:hAnsi="Sylfaen" w:cs="Sylfaen"/>
          <w:sz w:val="22"/>
          <w:szCs w:val="22"/>
        </w:rPr>
        <w:t>შპს</w:t>
      </w:r>
      <w:proofErr w:type="spellEnd"/>
      <w:r w:rsidRPr="00B82D91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B82D91">
        <w:rPr>
          <w:rFonts w:ascii="Sylfaen" w:hAnsi="Sylfaen" w:cs="Arial"/>
          <w:sz w:val="22"/>
          <w:szCs w:val="22"/>
        </w:rPr>
        <w:t>„</w:t>
      </w:r>
      <w:proofErr w:type="spellStart"/>
      <w:r w:rsidRPr="00B82D91">
        <w:rPr>
          <w:rFonts w:ascii="Sylfaen" w:hAnsi="Sylfaen" w:cs="Sylfaen"/>
          <w:sz w:val="22"/>
          <w:szCs w:val="22"/>
        </w:rPr>
        <w:t>თბილისის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ბავშვთა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ინფექციური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საავადმყოფოს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“ </w:t>
      </w:r>
      <w:proofErr w:type="spellStart"/>
      <w:r w:rsidRPr="00B82D91">
        <w:rPr>
          <w:rFonts w:ascii="Sylfaen" w:hAnsi="Sylfaen" w:cs="Sylfaen"/>
          <w:sz w:val="22"/>
          <w:szCs w:val="22"/>
        </w:rPr>
        <w:t>და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„</w:t>
      </w:r>
      <w:proofErr w:type="spellStart"/>
      <w:r w:rsidRPr="00B82D91">
        <w:rPr>
          <w:rFonts w:ascii="Sylfaen" w:hAnsi="Sylfaen" w:cs="Sylfaen"/>
          <w:sz w:val="22"/>
          <w:szCs w:val="22"/>
        </w:rPr>
        <w:t>უნივერსალური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ცენტრის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“ 30 </w:t>
      </w:r>
      <w:proofErr w:type="spellStart"/>
      <w:r w:rsidRPr="00B82D91">
        <w:rPr>
          <w:rFonts w:ascii="Sylfaen" w:hAnsi="Sylfaen" w:cs="Sylfaen"/>
          <w:sz w:val="22"/>
          <w:szCs w:val="22"/>
        </w:rPr>
        <w:t>წლიანი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იჯარით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მართვაში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გადაცემის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აუქციონის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გამოცხადების</w:t>
      </w:r>
      <w:proofErr w:type="spellEnd"/>
      <w:r w:rsidRPr="00B82D91">
        <w:rPr>
          <w:rFonts w:ascii="Sylfaen" w:hAnsi="Sylfaen" w:cs="Arial"/>
          <w:sz w:val="22"/>
          <w:szCs w:val="22"/>
        </w:rPr>
        <w:t xml:space="preserve"> </w:t>
      </w:r>
      <w:proofErr w:type="spellStart"/>
      <w:r w:rsidRPr="00B82D91">
        <w:rPr>
          <w:rFonts w:ascii="Sylfaen" w:hAnsi="Sylfaen" w:cs="Sylfaen"/>
          <w:sz w:val="22"/>
          <w:szCs w:val="22"/>
        </w:rPr>
        <w:t>თაობაზე</w:t>
      </w:r>
      <w:proofErr w:type="spellEnd"/>
      <w:r w:rsidRPr="00B82D91">
        <w:rPr>
          <w:rFonts w:ascii="Sylfaen" w:hAnsi="Sylfaen" w:cs="Arial"/>
          <w:sz w:val="22"/>
          <w:szCs w:val="22"/>
        </w:rPr>
        <w:t>.</w:t>
      </w:r>
    </w:p>
    <w:p w:rsidR="00A022A4" w:rsidRPr="00B82D91" w:rsidRDefault="00A022A4" w:rsidP="002B2B5C">
      <w:pPr>
        <w:spacing w:line="276" w:lineRule="auto"/>
        <w:jc w:val="both"/>
        <w:rPr>
          <w:rFonts w:ascii="Sylfaen" w:hAnsi="Sylfaen" w:cs="Arial"/>
          <w:sz w:val="22"/>
          <w:szCs w:val="22"/>
          <w:lang w:val="ka-GE"/>
        </w:rPr>
      </w:pPr>
    </w:p>
    <w:p w:rsidR="00A022A4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როგორც მოგეხსენებათ,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ჯანდაცვის სისტემის 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ერთ-ერთ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მთავარ 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პრიორიტეტს მაღალხარისხიან და ეფექტიან სამედიცინო მომსახურებაზე თანაბარი გეოგრაფიული და ფინანსური ხელმისაწვდომობის უზრუნველყოფა წარმოადგენს.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იმ პირობებში, რომ  </w:t>
      </w:r>
      <w:r w:rsidR="00A022A4" w:rsidRPr="00B82D91">
        <w:rPr>
          <w:rFonts w:ascii="Sylfaen" w:hAnsi="Sylfaen"/>
          <w:sz w:val="22"/>
          <w:szCs w:val="22"/>
          <w:lang w:val="ka-GE"/>
        </w:rPr>
        <w:t>საკუთრების ფორმის მიხედვით, ქვეყანაში არსებული ჰოსპიტალური ქსელის სურათი რადიკალურად</w:t>
      </w:r>
      <w:r w:rsidR="009055C4" w:rsidRPr="00B82D91">
        <w:rPr>
          <w:rFonts w:ascii="Sylfaen" w:hAnsi="Sylfaen"/>
          <w:sz w:val="22"/>
          <w:szCs w:val="22"/>
          <w:lang w:val="ka-GE"/>
        </w:rPr>
        <w:t xml:space="preserve"> განსხვავდება მსოფლიოში </w:t>
      </w:r>
      <w:r w:rsidR="00A022A4" w:rsidRPr="00B82D91">
        <w:rPr>
          <w:rFonts w:ascii="Sylfaen" w:hAnsi="Sylfaen"/>
          <w:sz w:val="22"/>
          <w:szCs w:val="22"/>
          <w:lang w:val="ka-GE"/>
        </w:rPr>
        <w:t>არსებულისგან</w:t>
      </w:r>
      <w:r w:rsidR="009055C4" w:rsidRPr="00B82D91">
        <w:rPr>
          <w:rFonts w:ascii="Sylfaen" w:hAnsi="Sylfaen"/>
          <w:sz w:val="22"/>
          <w:szCs w:val="22"/>
          <w:lang w:val="ka-GE"/>
        </w:rPr>
        <w:t>,</w:t>
      </w:r>
      <w:r w:rsidR="00A022A4" w:rsidRPr="00B82D91">
        <w:rPr>
          <w:rFonts w:ascii="Sylfaen" w:hAnsi="Sylfaen"/>
          <w:sz w:val="22"/>
          <w:szCs w:val="22"/>
          <w:lang w:val="ka-GE"/>
        </w:rPr>
        <w:t xml:space="preserve">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საავადმყოფოთა 85% კერძო მომგებიანია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სახელმწიფო საკუთრებაში არსებული საავადმყოფოების საწოლფონდი  მთლიანი  საწოლფონდის 16%-ს შეადგენს, სამინისტრო 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გარკვეული გამოწვევების წინაშე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დგება</w:t>
      </w:r>
      <w:r w:rsidR="00A022A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სერისების თანაბარი და სამართლიანი გადანაწილების </w:t>
      </w:r>
      <w:r w:rsidR="009055C4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კუთხით. </w:t>
      </w:r>
    </w:p>
    <w:p w:rsidR="009055C4" w:rsidRPr="00B82D91" w:rsidRDefault="009055C4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9055C4" w:rsidRPr="00B82D91" w:rsidRDefault="009055C4" w:rsidP="009055C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აღნიშნულის დადასტურებაა ის ფაქტი, კერძო კლინიკებში პაციენტების მიერ თანაგადახდა საშუალოდ 30-32%-ია, ხოლო</w:t>
      </w:r>
      <w:r w:rsidRPr="00B82D91">
        <w:rPr>
          <w:rFonts w:ascii="Sylfaen" w:hAnsi="Sylfaen"/>
          <w:color w:val="000000" w:themeColor="text1"/>
          <w:sz w:val="22"/>
          <w:szCs w:val="22"/>
        </w:rPr>
        <w:t>,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სახელმწიფო კლინიკებში დაბალი ტარიფების გათვალისწინებით, პაციენტებს თითქმის არ უწევთ თანხის დამატება, გარდა დადგენილებით გათვალისწინებული პირობებისა.</w:t>
      </w:r>
    </w:p>
    <w:p w:rsidR="009055C4" w:rsidRPr="00B82D91" w:rsidRDefault="009055C4" w:rsidP="009055C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125F55" w:rsidRDefault="009055C4" w:rsidP="009055C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კერძო დაწესებულებების უმეტესობისაგან განსხვავებით, სახელმწიფო კლინიკებში მომსახურების ფასები მნიშვნელოვნად დაბალია და ზოგ შემთხვევაში მათი ტარიფის 50%-ს შეადგენს. </w:t>
      </w:r>
      <w:r w:rsidR="00125F55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სწორედ აღნიშნული განაპირობებს </w:t>
      </w:r>
      <w:r w:rsidR="00125F55" w:rsidRPr="00B82D91">
        <w:rPr>
          <w:rFonts w:ascii="Sylfaen" w:hAnsi="Sylfaen"/>
          <w:sz w:val="22"/>
          <w:szCs w:val="22"/>
          <w:lang w:val="ka-GE"/>
        </w:rPr>
        <w:t xml:space="preserve">შპს „ნ.ყიფშიძის სახელობის ცენტრალური საუნივერსიტეტო კლინიკის“, სს „უნივერსალური სამედიცინო ცენტრის“ და </w:t>
      </w:r>
      <w:r w:rsidR="00125F55" w:rsidRPr="00B82D91">
        <w:rPr>
          <w:rFonts w:ascii="Sylfaen" w:hAnsi="Sylfaen" w:cs="Sylfaen"/>
          <w:sz w:val="22"/>
          <w:szCs w:val="22"/>
          <w:lang w:val="ka-GE"/>
        </w:rPr>
        <w:t>შპს</w:t>
      </w:r>
      <w:r w:rsidR="00125F55" w:rsidRPr="00B82D91">
        <w:rPr>
          <w:rFonts w:ascii="Sylfaen" w:hAnsi="Sylfaen"/>
          <w:sz w:val="22"/>
          <w:szCs w:val="22"/>
          <w:lang w:val="ka-GE"/>
        </w:rPr>
        <w:t xml:space="preserve"> „თბილისის ბავშვთა ინფექციური კლინიკური საავადმყოფოს“ მაღალი დატვირთვის მაჩვენებლებს (60-75%) ქვეყნის საშუალოსთან შედარებით (51%), მიუხედავად იმისა, რომ </w:t>
      </w:r>
      <w:r w:rsidR="00125F55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ინფრასტრუქტურა და აღჭურვილობა ნაკლებად სახარბიელოდ გამოიყურება </w:t>
      </w:r>
      <w:r w:rsidR="00B82D91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და </w:t>
      </w:r>
      <w:r w:rsidR="00125F55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ნაკლებად კონკურენტუნარიანს ხდის მათ კერძო სექტორთან შედარებით.</w:t>
      </w:r>
      <w:r w:rsid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</w:p>
    <w:p w:rsidR="00B82D91" w:rsidRDefault="00B82D91" w:rsidP="009055C4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82D91" w:rsidRDefault="00B82D91" w:rsidP="00B82D91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აქვე უნდა აღინიშნოს, რომ კერძო დაწესებულებები ნაკლებად არიან დაინტერესებული ისეთი სერვისების განვითარებით, რომლებიც პაციენტების საზღვარგარეთ გადინების ძირითად მიზეზს წარმოადგენს (მაგ.: მაღალდოზირებული ქიმიოთერაპია, ძვლის ტვინის ალოგენური ტრანსპლანტაცია და სხვა). 2017-2019 წლებში სულ ცო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ტა 54 მლნ. ლარის გადინება მოხდა </w:t>
      </w: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საზღვრების გარეთ მკურნალობის დასაფინანსებლად. </w:t>
      </w:r>
    </w:p>
    <w:p w:rsidR="00B82D91" w:rsidRDefault="00B82D91" w:rsidP="00B82D91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B82D91" w:rsidRDefault="00B82D91" w:rsidP="00B82D91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 გასათვალისწინებელია სამივე კლინიკის გეოგრაფიული მდებარეობა და სერვისების უნიკალურობა. სს“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უნივერსალური სამედიცინო ცენტრი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“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იმ მცირე რაოდენობით დაწესეუბლებათაგან ერთ-ერთია, სადაც სრული სპექტრით წარმოებს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ონკოლოგიური დაავადებების დიაგნოსტიკა-მკურნალობა და მართვა - ონკოქირურგია, სხივური თერაპია, ქიმიო-ჰორმონოთერაპია, ასევე პალიატიური მზრუნველობა/მოვლა.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რაც შეეხება შპს „თბილისის ბავშვთა ინფექციური საავადმყოფოს“ იგი ერთადერთია ქვეყანაში სადაც ტარდება 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სრული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ინფექციური პროფილის მომსახურებ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>ა, რაც საშუალებას იძლევა თავიდან იქნეს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აცილებული არასრული და დისკრეციული სერვისების მიწოდება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მინიმუმამდე 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>იქნას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დაყვანილი  პაციენტების არამიზანშეწონილი/გაუმართლებელი დაყოვნება 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>და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უეფექტო ხანგრძლივი</w:t>
      </w:r>
      <w:r w:rsidR="00AE0D90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მკურნალობა. </w:t>
      </w:r>
    </w:p>
    <w:p w:rsidR="00AE0D90" w:rsidRDefault="00AE0D90" w:rsidP="00B82D91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AE0D90" w:rsidRPr="00BC5C7B" w:rsidRDefault="00AE0D90" w:rsidP="00B82D91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ასევე გასათვალისწინებელია შპს „თბილისის ბავშვთა ინფექციური საავადმყოფოს“ და სს“ </w:t>
      </w:r>
      <w:r w:rsidRPr="00BC5C7B">
        <w:rPr>
          <w:rFonts w:ascii="Sylfaen" w:hAnsi="Sylfaen"/>
          <w:color w:val="000000" w:themeColor="text1"/>
          <w:sz w:val="22"/>
          <w:szCs w:val="22"/>
          <w:lang w:val="ka-GE"/>
        </w:rPr>
        <w:t>უნივერსალური სამედიცინო ცენტრი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ს“ იჯარიდან შემოსული თანხმები, რომლებიც მნიშვნელოვანი რესურსია აღნიშნული დაწესებულებების განვითარებისთვის და მათი მართვაში გადაცემის შემთხვევაში სახელმწიფო დაკარგავს მნიშვნელოვან რესურსს. </w:t>
      </w:r>
    </w:p>
    <w:p w:rsidR="00AE0D90" w:rsidRDefault="00AE0D90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125F55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ზემოხსენებულ გამოწვევაზე  არაერთი წელია მიმდინარეობს დისკუსია, რათა გამოინახოს სახელმწიფოს საკუთრებაში დარჩენილი რესურსის ოპტიმალური გამოყენების ეფექტური გზები</w:t>
      </w:r>
      <w:r w:rsid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>გამომდინარე</w:t>
      </w:r>
      <w:r w:rsidR="000039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0039EC">
        <w:rPr>
          <w:rFonts w:ascii="Sylfaen" w:hAnsi="Sylfaen"/>
          <w:color w:val="000000" w:themeColor="text1"/>
          <w:sz w:val="22"/>
          <w:szCs w:val="22"/>
          <w:lang w:val="ka-GE"/>
        </w:rPr>
        <w:t>აქედან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>, მეტად მნიშვნელოვანია სამი სტრატეგიული მნიშვნელობის საავადმყოფოს სახელმწიფო საკუთრებაში დატოვება და სახელმწიფოსთვის პრიორიტეტული სერვისების განვითარება. შესაბამისად, ამ ეტაპზე, სამინისტროს მიზანშეწონილად არ მიაჩნია მათი მართვაში გადაცემისთვის კომპანიის</w:t>
      </w:r>
      <w:r w:rsidR="000039EC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შერჩევის აუქციონის გამოცხადება</w:t>
      </w:r>
      <w:r w:rsidR="002B2B5C"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bookmarkStart w:id="0" w:name="_GoBack"/>
      <w:bookmarkEnd w:id="0"/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B82D9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პატივისცემით, </w:t>
      </w: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2B2B5C" w:rsidRPr="00B82D91" w:rsidRDefault="002B2B5C" w:rsidP="002B2B5C">
      <w:pPr>
        <w:spacing w:line="276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</w:p>
    <w:p w:rsidR="00795EE8" w:rsidRPr="00B82D91" w:rsidRDefault="00795EE8">
      <w:pPr>
        <w:rPr>
          <w:rFonts w:ascii="Sylfaen" w:hAnsi="Sylfaen"/>
          <w:sz w:val="22"/>
          <w:szCs w:val="22"/>
        </w:rPr>
      </w:pPr>
    </w:p>
    <w:sectPr w:rsidR="00795EE8" w:rsidRPr="00B82D91" w:rsidSect="00F850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5C"/>
    <w:rsid w:val="000039EC"/>
    <w:rsid w:val="00125F55"/>
    <w:rsid w:val="001B7AEF"/>
    <w:rsid w:val="002B2B5C"/>
    <w:rsid w:val="003A548C"/>
    <w:rsid w:val="003E5594"/>
    <w:rsid w:val="0042737F"/>
    <w:rsid w:val="005176D0"/>
    <w:rsid w:val="00795EE8"/>
    <w:rsid w:val="009055C4"/>
    <w:rsid w:val="00A022A4"/>
    <w:rsid w:val="00AE0D90"/>
    <w:rsid w:val="00B82D91"/>
    <w:rsid w:val="00D37E81"/>
    <w:rsid w:val="00D65521"/>
    <w:rsid w:val="00D7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2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B5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Ketevan Goginashvili</cp:lastModifiedBy>
  <cp:revision>4</cp:revision>
  <dcterms:created xsi:type="dcterms:W3CDTF">2019-09-11T16:08:00Z</dcterms:created>
  <dcterms:modified xsi:type="dcterms:W3CDTF">2019-09-11T16:54:00Z</dcterms:modified>
</cp:coreProperties>
</file>